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75" w:rsidRPr="00913075" w:rsidRDefault="00913075" w:rsidP="00913075">
      <w:pPr>
        <w:rPr>
          <w:b/>
        </w:rPr>
      </w:pPr>
      <w:r>
        <w:rPr>
          <w:b/>
        </w:rPr>
        <w:t>Average Weather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913075">
        <w:tc>
          <w:tcPr>
            <w:tcW w:w="1915" w:type="dxa"/>
            <w:vMerge w:val="restart"/>
          </w:tcPr>
          <w:p w:rsidR="00913075" w:rsidRDefault="00913075"/>
        </w:tc>
        <w:tc>
          <w:tcPr>
            <w:tcW w:w="3830" w:type="dxa"/>
            <w:gridSpan w:val="2"/>
          </w:tcPr>
          <w:p w:rsidR="00913075" w:rsidRPr="00913075" w:rsidRDefault="00913075" w:rsidP="00913075">
            <w:pPr>
              <w:jc w:val="center"/>
              <w:rPr>
                <w:b/>
              </w:rPr>
            </w:pPr>
            <w:r>
              <w:rPr>
                <w:b/>
              </w:rPr>
              <w:t>Normandy, France</w:t>
            </w:r>
          </w:p>
        </w:tc>
        <w:tc>
          <w:tcPr>
            <w:tcW w:w="3831" w:type="dxa"/>
            <w:gridSpan w:val="2"/>
          </w:tcPr>
          <w:p w:rsidR="00913075" w:rsidRPr="00913075" w:rsidRDefault="00913075" w:rsidP="00913075">
            <w:pPr>
              <w:jc w:val="center"/>
              <w:rPr>
                <w:b/>
              </w:rPr>
            </w:pPr>
            <w:r>
              <w:rPr>
                <w:b/>
              </w:rPr>
              <w:t>Venice, Italy</w:t>
            </w:r>
          </w:p>
        </w:tc>
      </w:tr>
      <w:tr w:rsidR="00913075">
        <w:tc>
          <w:tcPr>
            <w:tcW w:w="1915" w:type="dxa"/>
            <w:vMerge/>
          </w:tcPr>
          <w:p w:rsidR="00913075" w:rsidRDefault="00913075"/>
        </w:tc>
        <w:tc>
          <w:tcPr>
            <w:tcW w:w="1915" w:type="dxa"/>
          </w:tcPr>
          <w:p w:rsidR="00913075" w:rsidRDefault="00913075">
            <w:r>
              <w:t>(</w:t>
            </w:r>
            <w:proofErr w:type="gramStart"/>
            <w:r>
              <w:t>max</w:t>
            </w:r>
            <w:proofErr w:type="gramEnd"/>
            <w:r>
              <w:t xml:space="preserve">/min </w:t>
            </w:r>
            <w:r>
              <w:rPr>
                <w:rFonts w:cstheme="minorHAnsi"/>
              </w:rPr>
              <w:t>˚</w:t>
            </w:r>
            <w:r>
              <w:t>F)</w:t>
            </w:r>
          </w:p>
        </w:tc>
        <w:tc>
          <w:tcPr>
            <w:tcW w:w="1915" w:type="dxa"/>
          </w:tcPr>
          <w:p w:rsidR="00913075" w:rsidRDefault="00913075">
            <w:r>
              <w:t>Avg Precipitation</w:t>
            </w:r>
          </w:p>
        </w:tc>
        <w:tc>
          <w:tcPr>
            <w:tcW w:w="1915" w:type="dxa"/>
          </w:tcPr>
          <w:p w:rsidR="00913075" w:rsidRDefault="00913075">
            <w:r>
              <w:t>(</w:t>
            </w:r>
            <w:proofErr w:type="gramStart"/>
            <w:r>
              <w:t>max</w:t>
            </w:r>
            <w:proofErr w:type="gramEnd"/>
            <w:r>
              <w:t xml:space="preserve">/min </w:t>
            </w:r>
            <w:r>
              <w:rPr>
                <w:rFonts w:cstheme="minorHAnsi"/>
              </w:rPr>
              <w:t>˚</w:t>
            </w:r>
            <w:r>
              <w:t>F)</w:t>
            </w:r>
          </w:p>
        </w:tc>
        <w:tc>
          <w:tcPr>
            <w:tcW w:w="1916" w:type="dxa"/>
          </w:tcPr>
          <w:p w:rsidR="00913075" w:rsidRDefault="00913075">
            <w:r>
              <w:t>Avg Precipitation</w:t>
            </w:r>
          </w:p>
        </w:tc>
      </w:tr>
      <w:tr w:rsidR="00913075">
        <w:tc>
          <w:tcPr>
            <w:tcW w:w="1915" w:type="dxa"/>
          </w:tcPr>
          <w:p w:rsidR="00913075" w:rsidRPr="00913075" w:rsidRDefault="00913075">
            <w:pPr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1915" w:type="dxa"/>
          </w:tcPr>
          <w:p w:rsidR="00913075" w:rsidRDefault="00913075">
            <w:r>
              <w:t>44</w:t>
            </w:r>
            <w:r>
              <w:rPr>
                <w:rFonts w:cstheme="minorHAnsi"/>
              </w:rPr>
              <w:t>˚/33˚</w:t>
            </w:r>
          </w:p>
        </w:tc>
        <w:tc>
          <w:tcPr>
            <w:tcW w:w="1915" w:type="dxa"/>
          </w:tcPr>
          <w:p w:rsidR="00913075" w:rsidRDefault="00913075">
            <w:r>
              <w:t>2.6 inches</w:t>
            </w:r>
          </w:p>
        </w:tc>
        <w:tc>
          <w:tcPr>
            <w:tcW w:w="1915" w:type="dxa"/>
          </w:tcPr>
          <w:p w:rsidR="00913075" w:rsidRDefault="00913075">
            <w:r>
              <w:t>44</w:t>
            </w:r>
            <w:r>
              <w:rPr>
                <w:rFonts w:cstheme="minorHAnsi"/>
              </w:rPr>
              <w:t>˚/33˚</w:t>
            </w:r>
          </w:p>
        </w:tc>
        <w:tc>
          <w:tcPr>
            <w:tcW w:w="1916" w:type="dxa"/>
          </w:tcPr>
          <w:p w:rsidR="00913075" w:rsidRDefault="00913075">
            <w:r>
              <w:t>2.3 inches</w:t>
            </w:r>
          </w:p>
        </w:tc>
      </w:tr>
      <w:tr w:rsidR="00913075">
        <w:tc>
          <w:tcPr>
            <w:tcW w:w="1915" w:type="dxa"/>
          </w:tcPr>
          <w:p w:rsidR="00913075" w:rsidRPr="00913075" w:rsidRDefault="00913075">
            <w:pPr>
              <w:rPr>
                <w:b/>
              </w:rPr>
            </w:pPr>
            <w:r w:rsidRPr="00913075">
              <w:rPr>
                <w:b/>
              </w:rPr>
              <w:t>February</w:t>
            </w:r>
          </w:p>
        </w:tc>
        <w:tc>
          <w:tcPr>
            <w:tcW w:w="1915" w:type="dxa"/>
          </w:tcPr>
          <w:p w:rsidR="00913075" w:rsidRDefault="00913075">
            <w:r>
              <w:t>46</w:t>
            </w:r>
            <w:r>
              <w:rPr>
                <w:rFonts w:cstheme="minorHAnsi"/>
              </w:rPr>
              <w:t>˚/35˚</w:t>
            </w:r>
          </w:p>
        </w:tc>
        <w:tc>
          <w:tcPr>
            <w:tcW w:w="1915" w:type="dxa"/>
          </w:tcPr>
          <w:p w:rsidR="00913075" w:rsidRDefault="00913075">
            <w:r>
              <w:t>2.1 inches</w:t>
            </w:r>
          </w:p>
        </w:tc>
        <w:tc>
          <w:tcPr>
            <w:tcW w:w="1915" w:type="dxa"/>
          </w:tcPr>
          <w:p w:rsidR="00913075" w:rsidRDefault="00913075">
            <w:r>
              <w:t>46</w:t>
            </w:r>
            <w:r>
              <w:rPr>
                <w:rFonts w:cstheme="minorHAnsi"/>
              </w:rPr>
              <w:t>˚/35˚</w:t>
            </w:r>
          </w:p>
        </w:tc>
        <w:tc>
          <w:tcPr>
            <w:tcW w:w="1916" w:type="dxa"/>
          </w:tcPr>
          <w:p w:rsidR="00913075" w:rsidRDefault="00913075">
            <w:r>
              <w:t>2.1 inches</w:t>
            </w:r>
          </w:p>
        </w:tc>
      </w:tr>
      <w:tr w:rsidR="00913075">
        <w:tc>
          <w:tcPr>
            <w:tcW w:w="1915" w:type="dxa"/>
          </w:tcPr>
          <w:p w:rsidR="00913075" w:rsidRPr="00913075" w:rsidRDefault="00913075">
            <w:pPr>
              <w:rPr>
                <w:b/>
              </w:rPr>
            </w:pPr>
            <w:r w:rsidRPr="00913075">
              <w:rPr>
                <w:b/>
              </w:rPr>
              <w:t>March</w:t>
            </w:r>
          </w:p>
        </w:tc>
        <w:tc>
          <w:tcPr>
            <w:tcW w:w="1915" w:type="dxa"/>
          </w:tcPr>
          <w:p w:rsidR="00913075" w:rsidRDefault="00913075">
            <w:r>
              <w:t>51</w:t>
            </w:r>
            <w:r>
              <w:rPr>
                <w:rFonts w:cstheme="minorHAnsi"/>
              </w:rPr>
              <w:t>˚/37˚</w:t>
            </w:r>
          </w:p>
        </w:tc>
        <w:tc>
          <w:tcPr>
            <w:tcW w:w="1915" w:type="dxa"/>
          </w:tcPr>
          <w:p w:rsidR="00913075" w:rsidRDefault="00913075">
            <w:r>
              <w:t>1.7 inches</w:t>
            </w:r>
          </w:p>
        </w:tc>
        <w:tc>
          <w:tcPr>
            <w:tcW w:w="1915" w:type="dxa"/>
          </w:tcPr>
          <w:p w:rsidR="00913075" w:rsidRDefault="001A6D2F">
            <w:r>
              <w:t>51</w:t>
            </w:r>
            <w:r>
              <w:rPr>
                <w:rFonts w:cstheme="minorHAnsi"/>
              </w:rPr>
              <w:t>˚/37˚</w:t>
            </w:r>
          </w:p>
        </w:tc>
        <w:tc>
          <w:tcPr>
            <w:tcW w:w="1916" w:type="dxa"/>
          </w:tcPr>
          <w:p w:rsidR="00913075" w:rsidRDefault="001A6D2F">
            <w:r>
              <w:t>2.3 inches</w:t>
            </w:r>
          </w:p>
        </w:tc>
      </w:tr>
      <w:tr w:rsidR="00913075">
        <w:tc>
          <w:tcPr>
            <w:tcW w:w="1915" w:type="dxa"/>
          </w:tcPr>
          <w:p w:rsidR="00913075" w:rsidRPr="00913075" w:rsidRDefault="00913075">
            <w:pPr>
              <w:rPr>
                <w:b/>
              </w:rPr>
            </w:pPr>
            <w:r w:rsidRPr="00913075">
              <w:rPr>
                <w:b/>
              </w:rPr>
              <w:t>April</w:t>
            </w:r>
          </w:p>
        </w:tc>
        <w:tc>
          <w:tcPr>
            <w:tcW w:w="1915" w:type="dxa"/>
          </w:tcPr>
          <w:p w:rsidR="00913075" w:rsidRDefault="001A6D2F">
            <w:r>
              <w:t>55</w:t>
            </w:r>
            <w:r>
              <w:rPr>
                <w:rFonts w:cstheme="minorHAnsi"/>
              </w:rPr>
              <w:t>˚/41˚</w:t>
            </w:r>
          </w:p>
        </w:tc>
        <w:tc>
          <w:tcPr>
            <w:tcW w:w="1915" w:type="dxa"/>
          </w:tcPr>
          <w:p w:rsidR="00913075" w:rsidRDefault="001A6D2F">
            <w:r>
              <w:t>1.8 inches</w:t>
            </w:r>
          </w:p>
        </w:tc>
        <w:tc>
          <w:tcPr>
            <w:tcW w:w="1915" w:type="dxa"/>
          </w:tcPr>
          <w:p w:rsidR="00913075" w:rsidRPr="001A6D2F" w:rsidRDefault="001A6D2F">
            <w:pPr>
              <w:rPr>
                <w:b/>
              </w:rPr>
            </w:pPr>
            <w:r>
              <w:t>55</w:t>
            </w:r>
            <w:r>
              <w:rPr>
                <w:rFonts w:cstheme="minorHAnsi"/>
              </w:rPr>
              <w:t>˚/41˚</w:t>
            </w:r>
          </w:p>
        </w:tc>
        <w:tc>
          <w:tcPr>
            <w:tcW w:w="1916" w:type="dxa"/>
          </w:tcPr>
          <w:p w:rsidR="00913075" w:rsidRDefault="001A6D2F">
            <w:r>
              <w:t>2.5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>May</w:t>
            </w:r>
          </w:p>
        </w:tc>
        <w:tc>
          <w:tcPr>
            <w:tcW w:w="1915" w:type="dxa"/>
          </w:tcPr>
          <w:p w:rsidR="001A6D2F" w:rsidRDefault="001A6D2F">
            <w:r>
              <w:t>62</w:t>
            </w:r>
            <w:r>
              <w:rPr>
                <w:rFonts w:cstheme="minorHAnsi"/>
              </w:rPr>
              <w:t>˚/46˚</w:t>
            </w:r>
          </w:p>
        </w:tc>
        <w:tc>
          <w:tcPr>
            <w:tcW w:w="1915" w:type="dxa"/>
          </w:tcPr>
          <w:p w:rsidR="001A6D2F" w:rsidRDefault="001A6D2F">
            <w:r>
              <w:t>2.1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62</w:t>
            </w:r>
            <w:r>
              <w:rPr>
                <w:rFonts w:cstheme="minorHAnsi"/>
              </w:rPr>
              <w:t>˚/46˚</w:t>
            </w:r>
          </w:p>
        </w:tc>
        <w:tc>
          <w:tcPr>
            <w:tcW w:w="1916" w:type="dxa"/>
          </w:tcPr>
          <w:p w:rsidR="001A6D2F" w:rsidRDefault="001A6D2F">
            <w:r>
              <w:t>2.7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>June</w:t>
            </w:r>
          </w:p>
        </w:tc>
        <w:tc>
          <w:tcPr>
            <w:tcW w:w="1915" w:type="dxa"/>
          </w:tcPr>
          <w:p w:rsidR="001A6D2F" w:rsidRDefault="001A6D2F">
            <w:r>
              <w:t>68</w:t>
            </w:r>
            <w:r>
              <w:rPr>
                <w:rFonts w:cstheme="minorHAnsi"/>
              </w:rPr>
              <w:t>˚/50˚</w:t>
            </w:r>
          </w:p>
        </w:tc>
        <w:tc>
          <w:tcPr>
            <w:tcW w:w="1915" w:type="dxa"/>
          </w:tcPr>
          <w:p w:rsidR="001A6D2F" w:rsidRDefault="001A6D2F">
            <w:r>
              <w:t>1.7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68</w:t>
            </w:r>
            <w:r>
              <w:rPr>
                <w:rFonts w:cstheme="minorHAnsi"/>
              </w:rPr>
              <w:t>˚/50˚</w:t>
            </w:r>
          </w:p>
        </w:tc>
        <w:tc>
          <w:tcPr>
            <w:tcW w:w="1916" w:type="dxa"/>
          </w:tcPr>
          <w:p w:rsidR="001A6D2F" w:rsidRDefault="001A6D2F">
            <w:r>
              <w:t>3.0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 xml:space="preserve">July </w:t>
            </w:r>
          </w:p>
        </w:tc>
        <w:tc>
          <w:tcPr>
            <w:tcW w:w="1915" w:type="dxa"/>
          </w:tcPr>
          <w:p w:rsidR="001A6D2F" w:rsidRDefault="001A6D2F">
            <w:r>
              <w:t>71</w:t>
            </w:r>
            <w:r>
              <w:rPr>
                <w:rFonts w:cstheme="minorHAnsi"/>
              </w:rPr>
              <w:t>˚/53˚</w:t>
            </w:r>
          </w:p>
        </w:tc>
        <w:tc>
          <w:tcPr>
            <w:tcW w:w="1915" w:type="dxa"/>
          </w:tcPr>
          <w:p w:rsidR="001A6D2F" w:rsidRDefault="001A6D2F">
            <w:r>
              <w:t>1.9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71</w:t>
            </w:r>
            <w:r>
              <w:rPr>
                <w:rFonts w:cstheme="minorHAnsi"/>
              </w:rPr>
              <w:t>˚/53˚</w:t>
            </w:r>
          </w:p>
        </w:tc>
        <w:tc>
          <w:tcPr>
            <w:tcW w:w="1916" w:type="dxa"/>
          </w:tcPr>
          <w:p w:rsidR="001A6D2F" w:rsidRDefault="001A6D2F">
            <w:r>
              <w:t>2.5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>August</w:t>
            </w:r>
          </w:p>
        </w:tc>
        <w:tc>
          <w:tcPr>
            <w:tcW w:w="1915" w:type="dxa"/>
          </w:tcPr>
          <w:p w:rsidR="001A6D2F" w:rsidRDefault="001A6D2F">
            <w:r>
              <w:t>71</w:t>
            </w:r>
            <w:r>
              <w:rPr>
                <w:rFonts w:cstheme="minorHAnsi"/>
              </w:rPr>
              <w:t>˚/53˚</w:t>
            </w:r>
          </w:p>
        </w:tc>
        <w:tc>
          <w:tcPr>
            <w:tcW w:w="1915" w:type="dxa"/>
          </w:tcPr>
          <w:p w:rsidR="001A6D2F" w:rsidRDefault="001A6D2F">
            <w:r>
              <w:t>2.2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71</w:t>
            </w:r>
            <w:r>
              <w:rPr>
                <w:rFonts w:cstheme="minorHAnsi"/>
              </w:rPr>
              <w:t>˚/53˚</w:t>
            </w:r>
          </w:p>
        </w:tc>
        <w:tc>
          <w:tcPr>
            <w:tcW w:w="1916" w:type="dxa"/>
          </w:tcPr>
          <w:p w:rsidR="001A6D2F" w:rsidRDefault="001A6D2F">
            <w:r>
              <w:t>3.3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>September</w:t>
            </w:r>
          </w:p>
        </w:tc>
        <w:tc>
          <w:tcPr>
            <w:tcW w:w="1915" w:type="dxa"/>
          </w:tcPr>
          <w:p w:rsidR="001A6D2F" w:rsidRDefault="001A6D2F">
            <w:r>
              <w:t>68</w:t>
            </w:r>
            <w:r>
              <w:rPr>
                <w:rFonts w:cstheme="minorHAnsi"/>
              </w:rPr>
              <w:t>˚/51˚</w:t>
            </w:r>
          </w:p>
        </w:tc>
        <w:tc>
          <w:tcPr>
            <w:tcW w:w="1915" w:type="dxa"/>
          </w:tcPr>
          <w:p w:rsidR="001A6D2F" w:rsidRDefault="001A6D2F">
            <w:r>
              <w:t>2.5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68</w:t>
            </w:r>
            <w:r>
              <w:rPr>
                <w:rFonts w:cstheme="minorHAnsi"/>
              </w:rPr>
              <w:t>˚/51˚</w:t>
            </w:r>
          </w:p>
        </w:tc>
        <w:tc>
          <w:tcPr>
            <w:tcW w:w="1916" w:type="dxa"/>
          </w:tcPr>
          <w:p w:rsidR="001A6D2F" w:rsidRDefault="001A6D2F">
            <w:r>
              <w:t>2.6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>October</w:t>
            </w:r>
          </w:p>
        </w:tc>
        <w:tc>
          <w:tcPr>
            <w:tcW w:w="1915" w:type="dxa"/>
          </w:tcPr>
          <w:p w:rsidR="001A6D2F" w:rsidRDefault="001A6D2F">
            <w:r>
              <w:t>59</w:t>
            </w:r>
            <w:r>
              <w:rPr>
                <w:rFonts w:cstheme="minorHAnsi"/>
              </w:rPr>
              <w:t>˚/40˚</w:t>
            </w:r>
          </w:p>
        </w:tc>
        <w:tc>
          <w:tcPr>
            <w:tcW w:w="1915" w:type="dxa"/>
          </w:tcPr>
          <w:p w:rsidR="001A6D2F" w:rsidRDefault="001A6D2F">
            <w:r>
              <w:t>2.8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59</w:t>
            </w:r>
            <w:r>
              <w:rPr>
                <w:rFonts w:cstheme="minorHAnsi"/>
              </w:rPr>
              <w:t>˚/40˚</w:t>
            </w:r>
          </w:p>
        </w:tc>
        <w:tc>
          <w:tcPr>
            <w:tcW w:w="1916" w:type="dxa"/>
          </w:tcPr>
          <w:p w:rsidR="001A6D2F" w:rsidRDefault="001A6D2F">
            <w:r>
              <w:t>2.7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 xml:space="preserve">November </w:t>
            </w:r>
          </w:p>
        </w:tc>
        <w:tc>
          <w:tcPr>
            <w:tcW w:w="1915" w:type="dxa"/>
          </w:tcPr>
          <w:p w:rsidR="001A6D2F" w:rsidRDefault="001A6D2F">
            <w:r>
              <w:t>51</w:t>
            </w:r>
            <w:r>
              <w:rPr>
                <w:rFonts w:cstheme="minorHAnsi"/>
              </w:rPr>
              <w:t>˚/40˚</w:t>
            </w:r>
          </w:p>
        </w:tc>
        <w:tc>
          <w:tcPr>
            <w:tcW w:w="1915" w:type="dxa"/>
          </w:tcPr>
          <w:p w:rsidR="001A6D2F" w:rsidRDefault="001A6D2F">
            <w:r>
              <w:t>2.9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51</w:t>
            </w:r>
            <w:r>
              <w:rPr>
                <w:rFonts w:cstheme="minorHAnsi"/>
              </w:rPr>
              <w:t>˚/40˚</w:t>
            </w:r>
          </w:p>
        </w:tc>
        <w:tc>
          <w:tcPr>
            <w:tcW w:w="1916" w:type="dxa"/>
          </w:tcPr>
          <w:p w:rsidR="001A6D2F" w:rsidRDefault="001A6D2F">
            <w:r>
              <w:t>3.4 inches</w:t>
            </w:r>
          </w:p>
        </w:tc>
      </w:tr>
      <w:tr w:rsidR="001A6D2F">
        <w:tc>
          <w:tcPr>
            <w:tcW w:w="1915" w:type="dxa"/>
          </w:tcPr>
          <w:p w:rsidR="001A6D2F" w:rsidRPr="00913075" w:rsidRDefault="001A6D2F">
            <w:pPr>
              <w:rPr>
                <w:b/>
              </w:rPr>
            </w:pPr>
            <w:r w:rsidRPr="00913075">
              <w:rPr>
                <w:b/>
              </w:rPr>
              <w:t>December</w:t>
            </w:r>
          </w:p>
        </w:tc>
        <w:tc>
          <w:tcPr>
            <w:tcW w:w="1915" w:type="dxa"/>
          </w:tcPr>
          <w:p w:rsidR="001A6D2F" w:rsidRDefault="001A6D2F">
            <w:r>
              <w:t>46</w:t>
            </w:r>
            <w:r>
              <w:rPr>
                <w:rFonts w:cstheme="minorHAnsi"/>
              </w:rPr>
              <w:t>˚/35˚</w:t>
            </w:r>
          </w:p>
        </w:tc>
        <w:tc>
          <w:tcPr>
            <w:tcW w:w="1915" w:type="dxa"/>
          </w:tcPr>
          <w:p w:rsidR="001A6D2F" w:rsidRDefault="001A6D2F">
            <w:r>
              <w:t>2.3 inches</w:t>
            </w:r>
          </w:p>
        </w:tc>
        <w:tc>
          <w:tcPr>
            <w:tcW w:w="1915" w:type="dxa"/>
          </w:tcPr>
          <w:p w:rsidR="001A6D2F" w:rsidRDefault="001A6D2F" w:rsidP="002B7C62">
            <w:r>
              <w:t>46</w:t>
            </w:r>
            <w:r>
              <w:rPr>
                <w:rFonts w:cstheme="minorHAnsi"/>
              </w:rPr>
              <w:t>˚/35˚</w:t>
            </w:r>
          </w:p>
        </w:tc>
        <w:tc>
          <w:tcPr>
            <w:tcW w:w="1916" w:type="dxa"/>
          </w:tcPr>
          <w:p w:rsidR="001A6D2F" w:rsidRDefault="001A6D2F">
            <w:r>
              <w:t>2.1 inches</w:t>
            </w:r>
          </w:p>
        </w:tc>
      </w:tr>
    </w:tbl>
    <w:p w:rsidR="00913075" w:rsidRDefault="001A6D2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89536</wp:posOffset>
            </wp:positionV>
            <wp:extent cx="2105025" cy="2123094"/>
            <wp:effectExtent l="19050" t="0" r="9525" b="0"/>
            <wp:wrapNone/>
            <wp:docPr id="1" name="il_fi" descr="http://www.directholidaylets.com/images/maps/franc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rectholidaylets.com/images/maps/france-ma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D2F" w:rsidRPr="005F089C" w:rsidRDefault="001A6D2F" w:rsidP="001A6D2F">
      <w:pPr>
        <w:rPr>
          <w:b/>
        </w:rPr>
      </w:pPr>
      <w:r w:rsidRPr="001A6D2F">
        <w:rPr>
          <w:b/>
        </w:rPr>
        <w:t>Normandy, France climate information</w:t>
      </w:r>
      <w:r w:rsidR="005F089C">
        <w:rPr>
          <w:b/>
        </w:rPr>
        <w:br/>
      </w:r>
      <w:r w:rsidRPr="001A6D2F">
        <w:t>Normandy is on the west coast of France and has a warm climate.</w:t>
      </w:r>
      <w:r w:rsidR="008D768D">
        <w:br/>
      </w:r>
      <w:r w:rsidRPr="001A6D2F">
        <w:t xml:space="preserve"> Good levels of rain mean that the countryside is green but there </w:t>
      </w:r>
      <w:r w:rsidR="008D768D">
        <w:br/>
      </w:r>
      <w:r w:rsidRPr="001A6D2F">
        <w:t>are usually more sunny days than cloudy or rainy days. Due to its</w:t>
      </w:r>
      <w:r w:rsidR="008D768D">
        <w:br/>
      </w:r>
      <w:r w:rsidRPr="001A6D2F">
        <w:t xml:space="preserve"> northern latitude and coastal position</w:t>
      </w:r>
      <w:r w:rsidR="007700F9">
        <w:t>,</w:t>
      </w:r>
      <w:r w:rsidRPr="001A6D2F">
        <w:t xml:space="preserve"> the weather does not get </w:t>
      </w:r>
      <w:r w:rsidR="008D768D">
        <w:br/>
      </w:r>
      <w:r w:rsidRPr="001A6D2F">
        <w:t xml:space="preserve">to the high temperatures </w:t>
      </w:r>
      <w:r w:rsidR="007700F9">
        <w:t xml:space="preserve">as </w:t>
      </w:r>
      <w:r w:rsidRPr="001A6D2F">
        <w:t>seen elsewhere in France</w:t>
      </w:r>
      <w:r w:rsidR="007700F9">
        <w:t>. Weather</w:t>
      </w:r>
      <w:r w:rsidRPr="001A6D2F">
        <w:t xml:space="preserve"> can </w:t>
      </w:r>
      <w:r w:rsidR="007700F9">
        <w:br/>
      </w:r>
      <w:r w:rsidRPr="001A6D2F">
        <w:t>be unpredictable. However occasional days reaching 80</w:t>
      </w:r>
      <w:r w:rsidRPr="001A6D2F">
        <w:rPr>
          <w:rFonts w:cstheme="minorHAnsi"/>
        </w:rPr>
        <w:t>˚</w:t>
      </w:r>
      <w:r w:rsidRPr="001A6D2F">
        <w:t xml:space="preserve"> F are not</w:t>
      </w:r>
      <w:r w:rsidR="008D768D">
        <w:br/>
      </w:r>
      <w:r w:rsidRPr="001A6D2F">
        <w:t xml:space="preserve"> unusual in the summer and the winter months are relatively mild. </w:t>
      </w:r>
    </w:p>
    <w:p w:rsidR="005F089C" w:rsidRPr="005F089C" w:rsidRDefault="005F089C" w:rsidP="008D768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433070</wp:posOffset>
            </wp:positionV>
            <wp:extent cx="2324100" cy="1743075"/>
            <wp:effectExtent l="19050" t="0" r="0" b="0"/>
            <wp:wrapNone/>
            <wp:docPr id="4" name="il_fi" descr="http://www.lonelyplanet.com/maps/europe/italy/map_of_it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nelyplanet.com/maps/europe/italy/map_of_ita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/>
      </w:r>
      <w:r w:rsidR="008D768D">
        <w:rPr>
          <w:b/>
        </w:rPr>
        <w:t>Venice, Italy climate information</w:t>
      </w:r>
      <w:r>
        <w:rPr>
          <w:b/>
        </w:rPr>
        <w:br/>
      </w:r>
      <w:r w:rsidR="008D768D" w:rsidRPr="008D768D">
        <w:t>In summer</w:t>
      </w:r>
      <w:r w:rsidR="008D768D">
        <w:t>,</w:t>
      </w:r>
      <w:r w:rsidR="008D768D" w:rsidRPr="008D768D">
        <w:t xml:space="preserve"> the northern parts of Italy are warm with occasional rainfall, </w:t>
      </w:r>
      <w:r w:rsidR="008D768D">
        <w:br/>
        <w:t>but</w:t>
      </w:r>
      <w:r w:rsidR="008D768D" w:rsidRPr="008D768D">
        <w:t xml:space="preserve"> winter conditions in Venice are dominated by cold, damp and fog. Being </w:t>
      </w:r>
      <w:r w:rsidR="008D768D">
        <w:br/>
      </w:r>
      <w:r w:rsidR="008D768D" w:rsidRPr="008D768D">
        <w:t xml:space="preserve">located in </w:t>
      </w:r>
      <w:proofErr w:type="gramStart"/>
      <w:r w:rsidR="008D768D" w:rsidRPr="008D768D">
        <w:t>North-East</w:t>
      </w:r>
      <w:proofErr w:type="gramEnd"/>
      <w:r w:rsidR="008D768D" w:rsidRPr="008D768D">
        <w:t xml:space="preserve"> Italy, the climate in Venice changes dramatically </w:t>
      </w:r>
      <w:r w:rsidR="008D768D">
        <w:br/>
      </w:r>
      <w:r w:rsidR="008D768D" w:rsidRPr="008D768D">
        <w:t>throughout the year. In the winter the temperature can drop below freezing,</w:t>
      </w:r>
      <w:r w:rsidR="008D768D">
        <w:br/>
      </w:r>
      <w:r w:rsidR="008D768D" w:rsidRPr="008D768D">
        <w:t xml:space="preserve"> while in the summer the temper</w:t>
      </w:r>
      <w:r w:rsidR="007700F9">
        <w:t>atures can rise to 35C/96F. A</w:t>
      </w:r>
      <w:r w:rsidR="008D768D" w:rsidRPr="008D768D">
        <w:t>s might</w:t>
      </w:r>
      <w:r w:rsidR="008D768D">
        <w:br/>
      </w:r>
      <w:r w:rsidR="008D768D" w:rsidRPr="008D768D">
        <w:t xml:space="preserve"> </w:t>
      </w:r>
      <w:proofErr w:type="gramStart"/>
      <w:r w:rsidR="008D768D" w:rsidRPr="008D768D">
        <w:t>be</w:t>
      </w:r>
      <w:proofErr w:type="gramEnd"/>
      <w:r w:rsidR="008D768D" w:rsidRPr="008D768D">
        <w:t xml:space="preserve"> expected from its canals, the humidity remains high all year round.</w:t>
      </w:r>
      <w:r w:rsidR="008D768D">
        <w:br/>
      </w:r>
      <w:r w:rsidR="008D768D" w:rsidRPr="008D768D">
        <w:t xml:space="preserve"> </w:t>
      </w:r>
      <w:proofErr w:type="gramStart"/>
      <w:r w:rsidR="008D768D" w:rsidRPr="008D768D">
        <w:t>Because it is surrounded by water, in Venice</w:t>
      </w:r>
      <w:r w:rsidR="007700F9">
        <w:t>,</w:t>
      </w:r>
      <w:r w:rsidR="008D768D" w:rsidRPr="008D768D">
        <w:t xml:space="preserve"> cooler temperatures feel colder </w:t>
      </w:r>
      <w:r w:rsidR="008D768D">
        <w:br/>
      </w:r>
      <w:r w:rsidR="008D768D" w:rsidRPr="008D768D">
        <w:t>and the warmer temperatures hotter</w:t>
      </w:r>
      <w:r>
        <w:t>.</w:t>
      </w:r>
      <w:proofErr w:type="gramEnd"/>
    </w:p>
    <w:p w:rsidR="005F089C" w:rsidRPr="005F089C" w:rsidRDefault="005F089C" w:rsidP="008D768D">
      <w:pPr>
        <w:rPr>
          <w:b/>
        </w:rPr>
      </w:pPr>
      <w:r>
        <w:br/>
      </w:r>
      <w:r>
        <w:rPr>
          <w:b/>
        </w:rPr>
        <w:t xml:space="preserve">Sample Weather Report </w:t>
      </w:r>
      <w:r>
        <w:rPr>
          <w:b/>
        </w:rPr>
        <w:br/>
      </w:r>
      <w:r>
        <w:t xml:space="preserve">WEDNESDAY NIGHT: </w:t>
      </w:r>
      <w:r w:rsidRPr="005F089C">
        <w:t xml:space="preserve">Mostly cloudy skies this evening then clearing overnight and cooler and also less humid. Lows in the mid 40s-50. We had a cold front move through the area today. </w:t>
      </w:r>
      <w:r>
        <w:t>This</w:t>
      </w:r>
      <w:r w:rsidRPr="005F089C">
        <w:t xml:space="preserve"> front brought the clouds and rain with only a few hundredths of a</w:t>
      </w:r>
      <w:r>
        <w:t>n inch seen across the area. A</w:t>
      </w:r>
      <w:r w:rsidRPr="005F089C">
        <w:t xml:space="preserve"> second front will be dry with no rain and no cloud cover but it does bring a cooler and drier air mass into the area for Friday</w:t>
      </w:r>
      <w:r>
        <w:t xml:space="preserve">. </w:t>
      </w:r>
      <w:r w:rsidRPr="005F089C">
        <w:t>Winds tonight will be variable and light.</w:t>
      </w:r>
      <w:r>
        <w:br/>
      </w:r>
      <w:r>
        <w:br/>
        <w:t xml:space="preserve">THURSDAY: </w:t>
      </w:r>
      <w:r w:rsidRPr="005F089C">
        <w:t xml:space="preserve">Sunny, breezy and less humid. </w:t>
      </w:r>
      <w:proofErr w:type="gramStart"/>
      <w:r w:rsidRPr="005F089C">
        <w:t>High</w:t>
      </w:r>
      <w:r>
        <w:t>s in upper 70s.</w:t>
      </w:r>
      <w:proofErr w:type="gramEnd"/>
      <w:r>
        <w:t xml:space="preserve"> The next cold front comes in</w:t>
      </w:r>
      <w:r w:rsidRPr="005F089C">
        <w:t xml:space="preserve"> late this afternoon. Ahe</w:t>
      </w:r>
      <w:r>
        <w:t xml:space="preserve">ad of the front </w:t>
      </w:r>
      <w:r w:rsidRPr="005F089C">
        <w:t>will be brig</w:t>
      </w:r>
      <w:r>
        <w:t>ht and breezy but once the front</w:t>
      </w:r>
      <w:r w:rsidRPr="005F089C">
        <w:t xml:space="preserve"> passes it will be cooler and less humid.</w:t>
      </w:r>
      <w:r>
        <w:t xml:space="preserve"> </w:t>
      </w:r>
      <w:r w:rsidRPr="005F089C">
        <w:t>Wind: W at 15-25 m.p.h.</w:t>
      </w:r>
      <w:r>
        <w:br/>
      </w:r>
    </w:p>
    <w:sectPr w:rsidR="005F089C" w:rsidRPr="005F089C" w:rsidSect="008D768D">
      <w:headerReference w:type="default" r:id="rId8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9C" w:rsidRDefault="005F089C" w:rsidP="005F089C">
      <w:pPr>
        <w:spacing w:after="0" w:line="240" w:lineRule="auto"/>
      </w:pPr>
      <w:r>
        <w:separator/>
      </w:r>
    </w:p>
  </w:endnote>
  <w:endnote w:type="continuationSeparator" w:id="0">
    <w:p w:rsidR="005F089C" w:rsidRDefault="005F089C" w:rsidP="005F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9C" w:rsidRDefault="005F089C" w:rsidP="005F089C">
      <w:pPr>
        <w:spacing w:after="0" w:line="240" w:lineRule="auto"/>
      </w:pPr>
      <w:r>
        <w:separator/>
      </w:r>
    </w:p>
  </w:footnote>
  <w:footnote w:type="continuationSeparator" w:id="0">
    <w:p w:rsidR="005F089C" w:rsidRDefault="005F089C" w:rsidP="005F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9C" w:rsidRPr="005F089C" w:rsidRDefault="005F089C" w:rsidP="005F089C">
    <w:pPr>
      <w:pStyle w:val="Header"/>
      <w:jc w:val="center"/>
      <w:rPr>
        <w:b/>
        <w:u w:val="single"/>
      </w:rPr>
    </w:pPr>
    <w:r w:rsidRPr="005F089C">
      <w:rPr>
        <w:b/>
        <w:u w:val="single"/>
      </w:rPr>
      <w:t>Weather Forecast Tools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75"/>
    <w:rsid w:val="001A6D2F"/>
    <w:rsid w:val="005C566E"/>
    <w:rsid w:val="005F089C"/>
    <w:rsid w:val="006363A5"/>
    <w:rsid w:val="007700F9"/>
    <w:rsid w:val="008D768D"/>
    <w:rsid w:val="00913075"/>
    <w:rsid w:val="00B14509"/>
    <w:rsid w:val="00EB4751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1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89C"/>
  </w:style>
  <w:style w:type="paragraph" w:styleId="Footer">
    <w:name w:val="footer"/>
    <w:basedOn w:val="Normal"/>
    <w:link w:val="FooterChar"/>
    <w:uiPriority w:val="99"/>
    <w:semiHidden/>
    <w:unhideWhenUsed/>
    <w:rsid w:val="005F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Macintosh Word</Application>
  <DocSecurity>0</DocSecurity>
  <Lines>17</Lines>
  <Paragraphs>4</Paragraphs>
  <ScaleCrop>false</ScaleCrop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Ashley Weinard</cp:lastModifiedBy>
  <cp:revision>1</cp:revision>
  <dcterms:created xsi:type="dcterms:W3CDTF">2010-10-21T00:39:00Z</dcterms:created>
  <dcterms:modified xsi:type="dcterms:W3CDTF">2012-02-10T03:48:00Z</dcterms:modified>
</cp:coreProperties>
</file>