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17" w:rsidRDefault="00EF3E17" w:rsidP="00EF3E1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F3E17">
        <w:rPr>
          <w:rFonts w:ascii="Times New Roman" w:eastAsia="Times New Roman" w:hAnsi="Times New Roman" w:cs="Times New Roman"/>
          <w:color w:val="000000"/>
          <w:sz w:val="27"/>
          <w:szCs w:val="27"/>
        </w:rPr>
        <w:drawing>
          <wp:inline distT="0" distB="0" distL="0" distR="0">
            <wp:extent cx="2712720" cy="1453692"/>
            <wp:effectExtent l="25400" t="0" r="5080" b="0"/>
            <wp:docPr id="2" name="Picture 0" descr="artn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nc-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635" cy="145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E17" w:rsidRPr="00EF3E17" w:rsidRDefault="00EF3E17" w:rsidP="00EF3E17">
      <w:pPr>
        <w:spacing w:after="0" w:line="360" w:lineRule="auto"/>
        <w:jc w:val="center"/>
        <w:rPr>
          <w:sz w:val="24"/>
          <w:szCs w:val="24"/>
        </w:rPr>
      </w:pPr>
      <w:hyperlink r:id="rId8" w:history="1">
        <w:r w:rsidRPr="00EF3E17">
          <w:rPr>
            <w:rStyle w:val="Hyperlink"/>
            <w:rFonts w:ascii="Verdana" w:hAnsi="Verdana" w:cs="Helvetica-Bold"/>
            <w:sz w:val="24"/>
            <w:szCs w:val="24"/>
          </w:rPr>
          <w:t>www.artnc.org</w:t>
        </w:r>
      </w:hyperlink>
    </w:p>
    <w:p w:rsidR="00EF3E17" w:rsidRPr="00EF3E17" w:rsidRDefault="00A6129E" w:rsidP="00EF3E17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</w:rPr>
      </w:pPr>
      <w:r w:rsidRPr="00A612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F3E17">
        <w:rPr>
          <w:rFonts w:ascii="Verdana" w:eastAsia="Times New Roman" w:hAnsi="Verdana" w:cs="Arial"/>
          <w:b/>
          <w:color w:val="000000"/>
          <w:sz w:val="24"/>
          <w:szCs w:val="24"/>
        </w:rPr>
        <w:t>Scale Picture Recreation</w:t>
      </w:r>
    </w:p>
    <w:p w:rsidR="00EF3E17" w:rsidRDefault="00A6129E" w:rsidP="00EF3E17">
      <w:pPr>
        <w:spacing w:after="0" w:line="360" w:lineRule="auto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Writer: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 Jessica Mullen</w:t>
      </w: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Grade Level: 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>6-8</w:t>
      </w: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Related Big Picture Concept:</w:t>
      </w:r>
      <w:r w:rsidRP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Collaboration, Order, </w:t>
      </w:r>
      <w:proofErr w:type="gramStart"/>
      <w:r w:rsidRPr="00EF3E17">
        <w:rPr>
          <w:rFonts w:ascii="Verdana" w:eastAsia="Times New Roman" w:hAnsi="Verdana" w:cs="Arial"/>
          <w:color w:val="000000"/>
          <w:sz w:val="24"/>
          <w:szCs w:val="24"/>
        </w:rPr>
        <w:t>Part/Whole</w:t>
      </w: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Subject</w:t>
      </w:r>
      <w:proofErr w:type="gramEnd"/>
      <w:r w:rsidRP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Areas: 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>Math, Art</w:t>
      </w: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Essential Question: 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>How is scale used in art?</w:t>
      </w: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Abstract: 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Students will apply scale through the recreation of a work of art. </w:t>
      </w: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Duration: 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>Approximately 90 minutes for the discussion and calculation of scale, as well as directions. Creation of the art work map will take another 180 minutes spread out over 4 days.</w:t>
      </w: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EF3E17" w:rsidRDefault="00A6129E" w:rsidP="00EF3E17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b/>
          <w:bCs/>
          <w:color w:val="000000"/>
          <w:sz w:val="24"/>
          <w:szCs w:val="24"/>
        </w:rPr>
        <w:lastRenderedPageBreak/>
        <w:t>Focus Works of Art: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EF3E17">
        <w:rPr>
          <w:noProof/>
        </w:rPr>
        <w:drawing>
          <wp:inline distT="0" distB="0" distL="0" distR="0">
            <wp:extent cx="2667000" cy="2641600"/>
            <wp:effectExtent l="19050" t="0" r="0" b="0"/>
            <wp:docPr id="1" name="Picture 1" descr="http://artnc.org/sites/default/files/styles/image_grid_5/public/Roman%2C%20Mosaic%2C%20G_79_6_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nc.org/sites/default/files/styles/image_grid_5/public/Roman%2C%20Mosaic%2C%20G_79_6_9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E17" w:rsidRPr="00EF3E17" w:rsidRDefault="00EF3E17" w:rsidP="00EF3E17">
      <w:pPr>
        <w:shd w:val="clear" w:color="auto" w:fill="FFFFFF"/>
        <w:spacing w:after="0" w:line="380" w:lineRule="atLeast"/>
        <w:textAlignment w:val="baseline"/>
        <w:rPr>
          <w:rFonts w:ascii="Verdana" w:eastAsia="Times New Roman" w:hAnsi="Verdana" w:cs="Times New Roman"/>
          <w:b/>
          <w:bCs/>
          <w:i/>
          <w:color w:val="000000"/>
          <w:sz w:val="26"/>
          <w:szCs w:val="26"/>
        </w:rPr>
      </w:pPr>
      <w:r w:rsidRPr="00EF3E17">
        <w:rPr>
          <w:rFonts w:ascii="Verdana" w:eastAsia="Times New Roman" w:hAnsi="Verdana" w:cs="Times New Roman"/>
          <w:b/>
          <w:bCs/>
          <w:i/>
          <w:color w:val="000000"/>
          <w:sz w:val="26"/>
          <w:szCs w:val="26"/>
        </w:rPr>
        <w:t>Mosaic</w:t>
      </w:r>
    </w:p>
    <w:p w:rsidR="00EF3E17" w:rsidRPr="00EF3E17" w:rsidRDefault="00EF3E17" w:rsidP="00EF3E17">
      <w:pPr>
        <w:spacing w:after="0" w:line="380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F3E17">
        <w:rPr>
          <w:rFonts w:ascii="Verdana" w:eastAsia="Times New Roman" w:hAnsi="Verdana" w:cs="Times New Roman"/>
          <w:color w:val="000000"/>
          <w:sz w:val="26"/>
          <w:szCs w:val="26"/>
        </w:rPr>
        <w:t>2nd Century</w:t>
      </w:r>
    </w:p>
    <w:p w:rsidR="00EF3E17" w:rsidRPr="00EF3E17" w:rsidRDefault="00EF3E17" w:rsidP="00EF3E17">
      <w:pPr>
        <w:spacing w:after="0" w:line="380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F3E17">
        <w:rPr>
          <w:rFonts w:ascii="Verdana" w:eastAsia="Times New Roman" w:hAnsi="Verdana" w:cs="Times New Roman"/>
          <w:color w:val="000000"/>
          <w:sz w:val="26"/>
          <w:szCs w:val="26"/>
        </w:rPr>
        <w:t>Marble and glass</w:t>
      </w:r>
    </w:p>
    <w:p w:rsidR="00EF3E17" w:rsidRPr="00EF3E17" w:rsidRDefault="00EF3E17" w:rsidP="00EF3E17">
      <w:pPr>
        <w:spacing w:after="0" w:line="380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F3E17">
        <w:rPr>
          <w:rFonts w:ascii="Verdana" w:eastAsia="Times New Roman" w:hAnsi="Verdana" w:cs="Times New Roman"/>
          <w:color w:val="000000"/>
          <w:sz w:val="26"/>
          <w:szCs w:val="26"/>
        </w:rPr>
        <w:t>98 1/2 x 99 1/2 x 2 1/2 in. (250.2 x 252.7 x 6.4 cm)</w:t>
      </w:r>
    </w:p>
    <w:p w:rsidR="00A6129E" w:rsidRPr="00EF3E17" w:rsidRDefault="00F82E3E" w:rsidP="00EF3E17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0" w:history="1">
        <w:r w:rsidR="00A6129E" w:rsidRPr="00EF3E17">
          <w:rPr>
            <w:rFonts w:ascii="Verdana" w:eastAsia="Times New Roman" w:hAnsi="Verdana" w:cs="Arial"/>
            <w:color w:val="0000FF"/>
            <w:sz w:val="24"/>
            <w:szCs w:val="24"/>
            <w:u w:val="single"/>
          </w:rPr>
          <w:t>http://artn</w:t>
        </w:r>
        <w:r w:rsidR="00A6129E" w:rsidRPr="00EF3E17">
          <w:rPr>
            <w:rFonts w:ascii="Verdana" w:eastAsia="Times New Roman" w:hAnsi="Verdana" w:cs="Arial"/>
            <w:color w:val="0000FF"/>
            <w:sz w:val="24"/>
            <w:szCs w:val="24"/>
            <w:u w:val="single"/>
          </w:rPr>
          <w:t>c</w:t>
        </w:r>
        <w:r w:rsidR="00A6129E" w:rsidRPr="00EF3E17">
          <w:rPr>
            <w:rFonts w:ascii="Verdana" w:eastAsia="Times New Roman" w:hAnsi="Verdana" w:cs="Arial"/>
            <w:color w:val="0000FF"/>
            <w:sz w:val="24"/>
            <w:szCs w:val="24"/>
            <w:u w:val="single"/>
          </w:rPr>
          <w:t>.org/node/434</w:t>
        </w:r>
      </w:hyperlink>
      <w:r w:rsidR="00A6129E"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6129E" w:rsidRPr="00EF3E17" w:rsidRDefault="00A6129E" w:rsidP="00EF3E17">
      <w:pPr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  <w:r w:rsidRPr="00EF3E17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u w:val="single"/>
        </w:rPr>
        <w:t>North Carolina Standards Correlations</w:t>
      </w:r>
    </w:p>
    <w:p w:rsidR="00A6129E" w:rsidRPr="00EF3E17" w:rsidRDefault="00A6129E" w:rsidP="00EF3E17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Visual Art: </w:t>
      </w:r>
    </w:p>
    <w:p w:rsidR="00A6129E" w:rsidRPr="00EF3E17" w:rsidRDefault="00A6129E" w:rsidP="00EF3E17">
      <w:pPr>
        <w:numPr>
          <w:ilvl w:val="0"/>
          <w:numId w:val="1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proofErr w:type="gramStart"/>
      <w:r w:rsidRPr="00EF3E17">
        <w:rPr>
          <w:rFonts w:ascii="Verdana" w:eastAsia="Times New Roman" w:hAnsi="Verdana" w:cs="Arial"/>
          <w:color w:val="000000"/>
          <w:sz w:val="24"/>
          <w:szCs w:val="24"/>
        </w:rPr>
        <w:t>7.V.3.2</w:t>
      </w:r>
      <w:proofErr w:type="gramEnd"/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 Compare media in order to choose the best option to create art.</w:t>
      </w:r>
    </w:p>
    <w:p w:rsidR="00EF3E17" w:rsidRPr="00EF3E17" w:rsidRDefault="00A6129E" w:rsidP="00EF3E17">
      <w:pPr>
        <w:numPr>
          <w:ilvl w:val="0"/>
          <w:numId w:val="1"/>
        </w:numPr>
        <w:spacing w:before="100" w:beforeAutospacing="1" w:after="0" w:afterAutospacing="1" w:line="360" w:lineRule="auto"/>
        <w:ind w:left="120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EF3E17">
        <w:rPr>
          <w:rFonts w:ascii="Verdana" w:eastAsia="Times New Roman" w:hAnsi="Verdana" w:cs="Arial"/>
          <w:color w:val="000000"/>
          <w:sz w:val="24"/>
          <w:szCs w:val="24"/>
        </w:rPr>
        <w:t>7.CX.2.2</w:t>
      </w:r>
      <w:proofErr w:type="gramEnd"/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 Select skills and information needed from other disciplines to solve artistic problems.</w:t>
      </w:r>
    </w:p>
    <w:p w:rsidR="00A6129E" w:rsidRPr="00EF3E17" w:rsidRDefault="00A6129E" w:rsidP="00EF3E17">
      <w:pPr>
        <w:spacing w:before="100" w:beforeAutospacing="1" w:after="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Math: </w:t>
      </w:r>
    </w:p>
    <w:p w:rsidR="00A6129E" w:rsidRPr="00EF3E17" w:rsidRDefault="00A6129E" w:rsidP="00EF3E17">
      <w:pPr>
        <w:numPr>
          <w:ilvl w:val="0"/>
          <w:numId w:val="2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proofErr w:type="gramStart"/>
      <w:r w:rsidRPr="00EF3E17">
        <w:rPr>
          <w:rFonts w:ascii="Verdana" w:eastAsia="Times New Roman" w:hAnsi="Verdana" w:cs="Arial"/>
          <w:color w:val="000000"/>
          <w:sz w:val="24"/>
          <w:szCs w:val="24"/>
        </w:rPr>
        <w:t>7.RP.2</w:t>
      </w:r>
      <w:proofErr w:type="gramEnd"/>
      <w:r w:rsidRPr="00EF3E17">
        <w:rPr>
          <w:rFonts w:ascii="Verdana" w:eastAsia="Times New Roman" w:hAnsi="Verdana" w:cs="Arial"/>
          <w:color w:val="000000"/>
          <w:sz w:val="24"/>
          <w:szCs w:val="24"/>
        </w:rPr>
        <w:t>. Recognize and represent proportional relationships between quantities</w:t>
      </w:r>
    </w:p>
    <w:p w:rsidR="00A6129E" w:rsidRPr="00EF3E17" w:rsidRDefault="00A6129E" w:rsidP="00EF3E17">
      <w:pPr>
        <w:numPr>
          <w:ilvl w:val="0"/>
          <w:numId w:val="2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proofErr w:type="gramStart"/>
      <w:r w:rsidRPr="00EF3E17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7.G.1</w:t>
      </w:r>
      <w:proofErr w:type="gramEnd"/>
      <w:r w:rsidRPr="00EF3E17">
        <w:rPr>
          <w:rFonts w:ascii="Verdana" w:eastAsia="Times New Roman" w:hAnsi="Verdana" w:cs="Arial"/>
          <w:color w:val="000000"/>
          <w:sz w:val="24"/>
          <w:szCs w:val="24"/>
        </w:rPr>
        <w:t>. Solve problems involving scale drawings of geometric figures, including computing actual lengths and areas from a scale drawing and reproducing a scale drawing at a different scale.</w:t>
      </w:r>
    </w:p>
    <w:p w:rsidR="00A6129E" w:rsidRPr="00EF3E17" w:rsidRDefault="00A6129E" w:rsidP="00EF3E17">
      <w:pPr>
        <w:numPr>
          <w:ilvl w:val="0"/>
          <w:numId w:val="2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proofErr w:type="gramStart"/>
      <w:r w:rsidRPr="00EF3E17">
        <w:rPr>
          <w:rFonts w:ascii="Verdana" w:eastAsia="Times New Roman" w:hAnsi="Verdana" w:cs="Arial"/>
          <w:color w:val="000000"/>
          <w:sz w:val="24"/>
          <w:szCs w:val="24"/>
        </w:rPr>
        <w:t>7.G.2</w:t>
      </w:r>
      <w:proofErr w:type="gramEnd"/>
      <w:r w:rsidRPr="00EF3E17">
        <w:rPr>
          <w:rFonts w:ascii="Verdana" w:eastAsia="Times New Roman" w:hAnsi="Verdana" w:cs="Arial"/>
          <w:color w:val="000000"/>
          <w:sz w:val="24"/>
          <w:szCs w:val="24"/>
        </w:rPr>
        <w:t>. Draw geometric shapes with given conditions. Focus on constructing triangles from three measures of angles or sides, noticing when the conditions determine a unique triangle, more than one triangle, or no triangle.</w:t>
      </w:r>
    </w:p>
    <w:p w:rsidR="00A6129E" w:rsidRPr="00EF3E17" w:rsidRDefault="00A6129E" w:rsidP="00EF3E17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6129E" w:rsidRPr="00EF3E17" w:rsidRDefault="00A6129E" w:rsidP="00EF3E17">
      <w:pPr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  <w:r w:rsidRPr="00EF3E17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u w:val="single"/>
        </w:rPr>
        <w:t>Student Learning Objectives</w:t>
      </w:r>
    </w:p>
    <w:p w:rsidR="00A6129E" w:rsidRPr="00EF3E17" w:rsidRDefault="00A6129E" w:rsidP="00EF3E17">
      <w:pPr>
        <w:numPr>
          <w:ilvl w:val="0"/>
          <w:numId w:val="3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Students will compute an appropriate scale from an original work of art.</w:t>
      </w:r>
    </w:p>
    <w:p w:rsidR="00A6129E" w:rsidRPr="00EF3E17" w:rsidRDefault="00A6129E" w:rsidP="00EF3E17">
      <w:pPr>
        <w:numPr>
          <w:ilvl w:val="0"/>
          <w:numId w:val="3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Students will apply their scale in the recreation of a work of art with accuracy.</w:t>
      </w:r>
    </w:p>
    <w:p w:rsidR="00A6129E" w:rsidRPr="00EF3E17" w:rsidRDefault="00A6129E" w:rsidP="00EF3E17">
      <w:pPr>
        <w:numPr>
          <w:ilvl w:val="0"/>
          <w:numId w:val="3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Students will choose an appropriate art medium with which to complete their own personal art work.</w:t>
      </w:r>
    </w:p>
    <w:p w:rsidR="00A6129E" w:rsidRPr="00EF3E17" w:rsidRDefault="00A6129E" w:rsidP="00EF3E17">
      <w:pPr>
        <w:numPr>
          <w:ilvl w:val="0"/>
          <w:numId w:val="3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Students will accurately construct triangles in order to complete their portion of the art work.</w:t>
      </w:r>
    </w:p>
    <w:p w:rsidR="00A6129E" w:rsidRPr="00EF3E17" w:rsidRDefault="00A6129E" w:rsidP="00EF3E17">
      <w:pPr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  <w:r w:rsidRPr="00EF3E17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u w:val="single"/>
        </w:rPr>
        <w:t>Activities</w:t>
      </w:r>
    </w:p>
    <w:p w:rsidR="00A6129E" w:rsidRPr="00EF3E17" w:rsidRDefault="00A6129E" w:rsidP="00EF3E17">
      <w:pPr>
        <w:numPr>
          <w:ilvl w:val="0"/>
          <w:numId w:val="4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Display the Roman </w:t>
      </w:r>
      <w:r w:rsidRPr="00EF3E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Mosaic 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on a projector and have the class discuss what they notice. Encourage students to make connections to mathematical connections such as different geometric shapes, line structure, </w:t>
      </w:r>
      <w:r w:rsidR="00EF3E17" w:rsidRPr="00EF3E17">
        <w:rPr>
          <w:rFonts w:ascii="Verdana" w:eastAsia="Times New Roman" w:hAnsi="Verdana" w:cs="Arial"/>
          <w:color w:val="000000"/>
          <w:sz w:val="24"/>
          <w:szCs w:val="24"/>
        </w:rPr>
        <w:t>and symmetry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. Zoom in to small parts of </w:t>
      </w:r>
      <w:r w:rsidRPr="00EF3E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Mosaic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 to discuss finer details and how they play out in the whole work. </w:t>
      </w:r>
    </w:p>
    <w:p w:rsidR="00A6129E" w:rsidRPr="00EF3E17" w:rsidRDefault="00A6129E" w:rsidP="00EF3E17">
      <w:pPr>
        <w:numPr>
          <w:ilvl w:val="0"/>
          <w:numId w:val="4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Discuss the original dimensions of the work of art (98 ½ x 99 ½ x 2 ½ in.) and the size of the picture being projected. Calculate the 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scale factor of the model (picture 5” x 5”) vs. the actual work of art. Make sure students recognize which measurement (2 ½ in) will not be usable and why (real work is 3D, picture is 2D).</w:t>
      </w:r>
    </w:p>
    <w:p w:rsidR="00A6129E" w:rsidRPr="00EF3E17" w:rsidRDefault="00A6129E" w:rsidP="00EF3E17">
      <w:pPr>
        <w:numPr>
          <w:ilvl w:val="0"/>
          <w:numId w:val="4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Explain that together, the class will be recreating the work to a more manageable size and only two-dimensional (suggested size: 40” x 40”, divides up into 25 pieces.) The print-out grid will be cut into 1.5” x 1.5” squares. The class will work together to determine an appropriate scale that everyone will use for the project. Suggested scale above yields 1” on student art work = 1/8” from student piece of the actual Mosaic. </w:t>
      </w:r>
    </w:p>
    <w:p w:rsidR="00A6129E" w:rsidRPr="00EF3E17" w:rsidRDefault="00A6129E" w:rsidP="00EF3E17">
      <w:pPr>
        <w:numPr>
          <w:ilvl w:val="0"/>
          <w:numId w:val="4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As a class, have students agree upon what materials the class will use to create their Mosaic model. Have an assortment of materials available to help students make a group decision. Options may include: construction paper, colored pencils and paper, paint and paper, colored foil.</w:t>
      </w:r>
    </w:p>
    <w:p w:rsidR="00A6129E" w:rsidRPr="00EF3E17" w:rsidRDefault="00A6129E" w:rsidP="00EF3E17">
      <w:pPr>
        <w:numPr>
          <w:ilvl w:val="0"/>
          <w:numId w:val="4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Model how to create one piece. Show how to measure a piece of the </w:t>
      </w:r>
      <w:r w:rsidRPr="00EF3E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Mosaic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 and draw it onto </w:t>
      </w:r>
      <w:proofErr w:type="gramStart"/>
      <w:r w:rsidRPr="00EF3E17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 8” x 8” piece of paper. Discuss best approaches to collaboration with students and how precise measurements are critical to the finished product. </w:t>
      </w:r>
    </w:p>
    <w:p w:rsidR="00A6129E" w:rsidRPr="00EF3E17" w:rsidRDefault="00A6129E" w:rsidP="00EF3E17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6129E" w:rsidRPr="00EF3E17" w:rsidRDefault="00A6129E" w:rsidP="00EF3E17">
      <w:pPr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  <w:r w:rsidRPr="00EF3E17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u w:val="single"/>
        </w:rPr>
        <w:t>Assessments</w:t>
      </w:r>
    </w:p>
    <w:p w:rsidR="00A6129E" w:rsidRPr="00EF3E17" w:rsidRDefault="00A6129E" w:rsidP="00EF3E17">
      <w:pPr>
        <w:numPr>
          <w:ilvl w:val="0"/>
          <w:numId w:val="5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Participation, notes, and development of the scale may be used to evaluate the students’ understanding of scale.</w:t>
      </w:r>
    </w:p>
    <w:p w:rsidR="00A6129E" w:rsidRPr="00EF3E17" w:rsidRDefault="00A6129E" w:rsidP="00EF3E17">
      <w:pPr>
        <w:numPr>
          <w:ilvl w:val="0"/>
          <w:numId w:val="5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Precision of the geometric shapes will be used to evaluate the </w:t>
      </w:r>
      <w:proofErr w:type="gramStart"/>
      <w:r w:rsidRPr="00EF3E17">
        <w:rPr>
          <w:rFonts w:ascii="Verdana" w:eastAsia="Times New Roman" w:hAnsi="Verdana" w:cs="Arial"/>
          <w:color w:val="000000"/>
          <w:sz w:val="24"/>
          <w:szCs w:val="24"/>
        </w:rPr>
        <w:t>students</w:t>
      </w:r>
      <w:proofErr w:type="gramEnd"/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 use of measurement tools in creation of art.</w:t>
      </w:r>
    </w:p>
    <w:p w:rsidR="00A6129E" w:rsidRPr="00EF3E17" w:rsidRDefault="00A6129E" w:rsidP="00EF3E17">
      <w:pPr>
        <w:numPr>
          <w:ilvl w:val="0"/>
          <w:numId w:val="5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The relationship of the students’ pieces to one another will be used to evaluate how the students used measurement tools and collaborated with classmates for accuracy.</w:t>
      </w:r>
    </w:p>
    <w:p w:rsidR="00A6129E" w:rsidRPr="00EF3E17" w:rsidRDefault="00A6129E" w:rsidP="00EF3E17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6129E" w:rsidRPr="00EF3E17" w:rsidRDefault="00A6129E" w:rsidP="00EF3E17">
      <w:pPr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  <w:r w:rsidRPr="00EF3E17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u w:val="single"/>
        </w:rPr>
        <w:t>Resources</w:t>
      </w:r>
    </w:p>
    <w:p w:rsidR="00A6129E" w:rsidRPr="00EF3E17" w:rsidRDefault="00A6129E" w:rsidP="00EF3E17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Vocabulary: </w:t>
      </w:r>
    </w:p>
    <w:p w:rsidR="00EF3E17" w:rsidRPr="00EF3E17" w:rsidRDefault="00EF3E17" w:rsidP="00EF3E1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126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scale</w:t>
      </w:r>
    </w:p>
    <w:p w:rsidR="00EF3E17" w:rsidRPr="00EF3E17" w:rsidRDefault="00A6129E" w:rsidP="00EF3E1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126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scale factor</w:t>
      </w:r>
    </w:p>
    <w:p w:rsidR="00EF3E17" w:rsidRPr="00EF3E17" w:rsidRDefault="00A6129E" w:rsidP="00EF3E1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126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inches (or centimeters)</w:t>
      </w:r>
    </w:p>
    <w:p w:rsidR="00A6129E" w:rsidRPr="00EF3E17" w:rsidRDefault="00A6129E" w:rsidP="00EF3E1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126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feet (or meters)</w:t>
      </w:r>
    </w:p>
    <w:p w:rsidR="00A6129E" w:rsidRPr="00EF3E17" w:rsidRDefault="00A6129E" w:rsidP="00EF3E17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Materials: </w:t>
      </w:r>
    </w:p>
    <w:p w:rsidR="00A6129E" w:rsidRPr="00EF3E17" w:rsidRDefault="00A6129E" w:rsidP="00EF3E17">
      <w:pPr>
        <w:numPr>
          <w:ilvl w:val="0"/>
          <w:numId w:val="7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8’’ x 8’’ white scrapbook paper (or the back of ugly paper)</w:t>
      </w:r>
    </w:p>
    <w:p w:rsidR="00A6129E" w:rsidRPr="00EF3E17" w:rsidRDefault="00A6129E" w:rsidP="00EF3E17">
      <w:pPr>
        <w:numPr>
          <w:ilvl w:val="0"/>
          <w:numId w:val="7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Two color print outs of </w:t>
      </w:r>
      <w:r w:rsidRPr="00EF3E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Mosaic</w:t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 with one divided up into 1.5’’ squares and the other one with a grid as a guide for putting together the class recreation </w:t>
      </w:r>
    </w:p>
    <w:p w:rsidR="00A6129E" w:rsidRPr="00EF3E17" w:rsidRDefault="00A6129E" w:rsidP="00EF3E17">
      <w:pPr>
        <w:numPr>
          <w:ilvl w:val="0"/>
          <w:numId w:val="7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 xml:space="preserve">variety of art supplies </w:t>
      </w:r>
    </w:p>
    <w:p w:rsidR="00A6129E" w:rsidRPr="00EF3E17" w:rsidRDefault="00A6129E" w:rsidP="00EF3E17">
      <w:pPr>
        <w:numPr>
          <w:ilvl w:val="0"/>
          <w:numId w:val="7"/>
        </w:numPr>
        <w:spacing w:before="100" w:beforeAutospacing="1" w:after="100" w:afterAutospacing="1" w:line="360" w:lineRule="auto"/>
        <w:ind w:left="1200"/>
        <w:textAlignment w:val="baseline"/>
        <w:rPr>
          <w:rFonts w:ascii="Verdana" w:eastAsia="Times New Roman" w:hAnsi="Verdana" w:cs="Arial"/>
          <w:color w:val="000000"/>
          <w:sz w:val="24"/>
          <w:szCs w:val="24"/>
        </w:rPr>
      </w:pPr>
      <w:r w:rsidRPr="00EF3E17">
        <w:rPr>
          <w:rFonts w:ascii="Verdana" w:eastAsia="Times New Roman" w:hAnsi="Verdana" w:cs="Arial"/>
          <w:color w:val="000000"/>
          <w:sz w:val="24"/>
          <w:szCs w:val="24"/>
        </w:rPr>
        <w:t>rulers, and pencils</w:t>
      </w:r>
    </w:p>
    <w:p w:rsidR="00D84480" w:rsidRPr="00EF3E17" w:rsidRDefault="00A6129E" w:rsidP="00EF3E17">
      <w:pPr>
        <w:spacing w:line="360" w:lineRule="auto"/>
        <w:rPr>
          <w:rFonts w:ascii="Verdana" w:hAnsi="Verdana"/>
          <w:sz w:val="24"/>
          <w:szCs w:val="24"/>
        </w:rPr>
      </w:pPr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3E17">
        <w:rPr>
          <w:rFonts w:ascii="Verdana" w:eastAsia="Times New Roman" w:hAnsi="Verdana" w:cs="Arial"/>
          <w:color w:val="000000"/>
          <w:sz w:val="24"/>
          <w:szCs w:val="24"/>
        </w:rPr>
        <w:t>Lesson Resources</w:t>
      </w:r>
      <w:proofErr w:type="gramStart"/>
      <w:r w:rsidRPr="00EF3E17">
        <w:rPr>
          <w:rFonts w:ascii="Verdana" w:eastAsia="Times New Roman" w:hAnsi="Verdana" w:cs="Arial"/>
          <w:color w:val="000000"/>
          <w:sz w:val="24"/>
          <w:szCs w:val="24"/>
        </w:rPr>
        <w:t>:</w:t>
      </w:r>
      <w:proofErr w:type="gramEnd"/>
      <w:r w:rsidRPr="00EF3E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11" w:history="1">
        <w:r w:rsidRPr="00EF3E17">
          <w:rPr>
            <w:rFonts w:ascii="Verdana" w:eastAsia="Times New Roman" w:hAnsi="Verdana" w:cs="Arial"/>
            <w:color w:val="0000FF"/>
            <w:sz w:val="24"/>
            <w:szCs w:val="24"/>
            <w:u w:val="single"/>
          </w:rPr>
          <w:t>http://artnc.org/node/434</w:t>
        </w:r>
      </w:hyperlink>
    </w:p>
    <w:sectPr w:rsidR="00D84480" w:rsidRPr="00EF3E17" w:rsidSect="00D8448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F9" w:rsidRDefault="003D1BF9" w:rsidP="00EF3E17">
      <w:pPr>
        <w:spacing w:after="0" w:line="240" w:lineRule="auto"/>
      </w:pPr>
      <w:r>
        <w:separator/>
      </w:r>
    </w:p>
  </w:endnote>
  <w:endnote w:type="continuationSeparator" w:id="0">
    <w:p w:rsidR="003D1BF9" w:rsidRDefault="003D1BF9" w:rsidP="00EF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E17" w:rsidRPr="00EF3E17" w:rsidRDefault="00EF3E17" w:rsidP="00EF3E17">
    <w:pPr>
      <w:tabs>
        <w:tab w:val="center" w:pos="4680"/>
        <w:tab w:val="right" w:pos="9360"/>
      </w:tabs>
      <w:spacing w:after="0" w:line="240" w:lineRule="auto"/>
      <w:jc w:val="right"/>
      <w:rPr>
        <w:rFonts w:ascii="Verdana" w:eastAsia="Times" w:hAnsi="Verdana" w:cs="Times New Roman"/>
        <w:sz w:val="24"/>
        <w:szCs w:val="20"/>
      </w:rPr>
    </w:pPr>
    <w:r w:rsidRPr="00EF3E17">
      <w:rPr>
        <w:rFonts w:ascii="Verdana" w:eastAsia="Times" w:hAnsi="Verdana" w:cs="Times New Roman"/>
        <w:sz w:val="24"/>
        <w:szCs w:val="20"/>
      </w:rPr>
      <w:t>North Carolina Museum of Art</w:t>
    </w:r>
  </w:p>
  <w:p w:rsidR="00EF3E17" w:rsidRDefault="00EF3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F9" w:rsidRDefault="003D1BF9" w:rsidP="00EF3E17">
      <w:pPr>
        <w:spacing w:after="0" w:line="240" w:lineRule="auto"/>
      </w:pPr>
      <w:r>
        <w:separator/>
      </w:r>
    </w:p>
  </w:footnote>
  <w:footnote w:type="continuationSeparator" w:id="0">
    <w:p w:rsidR="003D1BF9" w:rsidRDefault="003D1BF9" w:rsidP="00EF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7720"/>
    <w:multiLevelType w:val="multilevel"/>
    <w:tmpl w:val="B40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B6EFA"/>
    <w:multiLevelType w:val="multilevel"/>
    <w:tmpl w:val="5DA2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B7728"/>
    <w:multiLevelType w:val="multilevel"/>
    <w:tmpl w:val="DF6A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6A3"/>
    <w:multiLevelType w:val="multilevel"/>
    <w:tmpl w:val="55F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E38DB"/>
    <w:multiLevelType w:val="multilevel"/>
    <w:tmpl w:val="D18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65349"/>
    <w:multiLevelType w:val="multilevel"/>
    <w:tmpl w:val="C42E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A1ECA"/>
    <w:multiLevelType w:val="multilevel"/>
    <w:tmpl w:val="B95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A67AE"/>
    <w:multiLevelType w:val="hybridMultilevel"/>
    <w:tmpl w:val="831E9D5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29E"/>
    <w:rsid w:val="003D1BF9"/>
    <w:rsid w:val="00A6129E"/>
    <w:rsid w:val="00D84480"/>
    <w:rsid w:val="00EF3E17"/>
    <w:rsid w:val="00F8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80"/>
  </w:style>
  <w:style w:type="paragraph" w:styleId="Heading1">
    <w:name w:val="heading 1"/>
    <w:basedOn w:val="Normal"/>
    <w:link w:val="Heading1Char"/>
    <w:uiPriority w:val="9"/>
    <w:qFormat/>
    <w:rsid w:val="00A61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2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6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6129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6129E"/>
  </w:style>
  <w:style w:type="paragraph" w:styleId="BalloonText">
    <w:name w:val="Balloon Text"/>
    <w:basedOn w:val="Normal"/>
    <w:link w:val="BalloonTextChar"/>
    <w:uiPriority w:val="99"/>
    <w:semiHidden/>
    <w:unhideWhenUsed/>
    <w:rsid w:val="00EF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3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E17"/>
  </w:style>
  <w:style w:type="paragraph" w:styleId="Footer">
    <w:name w:val="footer"/>
    <w:basedOn w:val="Normal"/>
    <w:link w:val="FooterChar"/>
    <w:uiPriority w:val="99"/>
    <w:semiHidden/>
    <w:unhideWhenUsed/>
    <w:rsid w:val="00EF3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E17"/>
  </w:style>
  <w:style w:type="paragraph" w:styleId="ListParagraph">
    <w:name w:val="List Paragraph"/>
    <w:basedOn w:val="Normal"/>
    <w:uiPriority w:val="34"/>
    <w:qFormat/>
    <w:rsid w:val="00EF3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n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nc.org/node/4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tnc.org/node/4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2</cp:revision>
  <dcterms:created xsi:type="dcterms:W3CDTF">2012-07-23T14:29:00Z</dcterms:created>
  <dcterms:modified xsi:type="dcterms:W3CDTF">2012-07-30T16:57:00Z</dcterms:modified>
</cp:coreProperties>
</file>